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1276"/>
        <w:gridCol w:w="1985"/>
        <w:gridCol w:w="1559"/>
        <w:gridCol w:w="1843"/>
        <w:gridCol w:w="850"/>
        <w:gridCol w:w="2552"/>
      </w:tblGrid>
      <w:tr w:rsidR="00AC61BD" w:rsidRPr="00944E05" w:rsidTr="00F763FB">
        <w:trPr>
          <w:trHeight w:val="1288"/>
        </w:trPr>
        <w:tc>
          <w:tcPr>
            <w:tcW w:w="7513" w:type="dxa"/>
            <w:gridSpan w:val="5"/>
          </w:tcPr>
          <w:p w:rsidR="00AC61BD" w:rsidRPr="00977FAF" w:rsidRDefault="00AC61BD" w:rsidP="00F763FB">
            <w:pPr>
              <w:jc w:val="center"/>
              <w:rPr>
                <w:rFonts w:cs="Arial"/>
              </w:rPr>
            </w:pPr>
            <w:r w:rsidRPr="00977FAF">
              <w:rPr>
                <w:rFonts w:cs="Arial"/>
                <w:color w:val="000000"/>
                <w:spacing w:val="100"/>
                <w:sz w:val="72"/>
              </w:rPr>
              <w:t>MEMO</w:t>
            </w:r>
          </w:p>
        </w:tc>
        <w:tc>
          <w:tcPr>
            <w:tcW w:w="2552" w:type="dxa"/>
          </w:tcPr>
          <w:p w:rsidR="00AC61BD" w:rsidRPr="00977FAF" w:rsidRDefault="00AC61BD" w:rsidP="00F763FB">
            <w:pPr>
              <w:jc w:val="right"/>
              <w:rPr>
                <w:rFonts w:cs="Arial"/>
              </w:rPr>
            </w:pPr>
            <w:bookmarkStart w:id="0" w:name="LMCCLogo"/>
            <w:r w:rsidRPr="00B00928">
              <w:rPr>
                <w:rFonts w:cs="Arial"/>
                <w:noProof/>
              </w:rPr>
              <w:drawing>
                <wp:inline distT="0" distB="0" distL="0" distR="0" wp14:anchorId="2DAFAF96" wp14:editId="47EFE53C">
                  <wp:extent cx="1092820" cy="1001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bookmarkEnd w:id="0"/>
          </w:p>
        </w:tc>
      </w:tr>
      <w:tr w:rsidR="00AC61BD" w:rsidRPr="00944E05" w:rsidTr="00F763FB">
        <w:tblPrEx>
          <w:tblCellMar>
            <w:left w:w="107" w:type="dxa"/>
            <w:right w:w="107" w:type="dxa"/>
          </w:tblCellMar>
        </w:tblPrEx>
        <w:tc>
          <w:tcPr>
            <w:tcW w:w="1276" w:type="dxa"/>
          </w:tcPr>
          <w:p w:rsidR="00AC61BD" w:rsidRPr="00977FAF" w:rsidRDefault="00AC61BD" w:rsidP="00F763FB">
            <w:pPr>
              <w:pStyle w:val="PlainTextBold"/>
              <w:rPr>
                <w:rFonts w:ascii="Arial" w:hAnsi="Arial" w:cs="Arial"/>
                <w:i/>
              </w:rPr>
            </w:pPr>
            <w:r w:rsidRPr="00977FAF">
              <w:rPr>
                <w:rFonts w:ascii="Arial" w:hAnsi="Arial" w:cs="Arial"/>
              </w:rPr>
              <w:t>To:</w:t>
            </w:r>
          </w:p>
        </w:tc>
        <w:tc>
          <w:tcPr>
            <w:tcW w:w="8789" w:type="dxa"/>
            <w:gridSpan w:val="5"/>
          </w:tcPr>
          <w:p w:rsidR="00AC61BD" w:rsidRPr="001963E2" w:rsidRDefault="00AC61BD" w:rsidP="00F763FB">
            <w:pPr>
              <w:rPr>
                <w:rFonts w:cs="Arial"/>
              </w:rPr>
            </w:pPr>
            <w:r w:rsidRPr="001963E2">
              <w:rPr>
                <w:rFonts w:cs="Arial"/>
              </w:rPr>
              <w:t>Hunter and Central Coast Regional Planning Panel</w:t>
            </w:r>
          </w:p>
        </w:tc>
      </w:tr>
      <w:tr w:rsidR="00AC61BD" w:rsidRPr="00944E05" w:rsidTr="00F763FB">
        <w:tc>
          <w:tcPr>
            <w:tcW w:w="1276" w:type="dxa"/>
          </w:tcPr>
          <w:p w:rsidR="00AC61BD" w:rsidRPr="00977FAF" w:rsidRDefault="00AC61BD" w:rsidP="00F763FB">
            <w:pPr>
              <w:pStyle w:val="PlainTextBold"/>
              <w:rPr>
                <w:rFonts w:ascii="Arial" w:hAnsi="Arial" w:cs="Arial"/>
              </w:rPr>
            </w:pPr>
            <w:r w:rsidRPr="00977FAF">
              <w:rPr>
                <w:rFonts w:ascii="Arial" w:hAnsi="Arial" w:cs="Arial"/>
              </w:rPr>
              <w:t>From:</w:t>
            </w:r>
          </w:p>
        </w:tc>
        <w:tc>
          <w:tcPr>
            <w:tcW w:w="8789" w:type="dxa"/>
            <w:gridSpan w:val="5"/>
          </w:tcPr>
          <w:p w:rsidR="00AC61BD" w:rsidRPr="00977FAF" w:rsidRDefault="00AC61BD" w:rsidP="00F763FB">
            <w:pPr>
              <w:rPr>
                <w:rFonts w:cs="Arial"/>
              </w:rPr>
            </w:pPr>
            <w:r w:rsidRPr="00977FAF">
              <w:rPr>
                <w:rFonts w:cs="Arial"/>
              </w:rPr>
              <w:fldChar w:fldCharType="begin"/>
            </w:r>
            <w:r w:rsidRPr="00977FAF">
              <w:rPr>
                <w:rFonts w:cs="Arial"/>
              </w:rPr>
              <w:instrText xml:space="preserve"> docvariable Sig1 </w:instrText>
            </w:r>
            <w:r w:rsidRPr="00977FAF">
              <w:rPr>
                <w:rFonts w:cs="Arial"/>
              </w:rPr>
              <w:fldChar w:fldCharType="separate"/>
            </w:r>
            <w:r>
              <w:rPr>
                <w:rFonts w:cs="Arial"/>
              </w:rPr>
              <w:t>Geoffrey Keech</w:t>
            </w:r>
            <w:r w:rsidRPr="00977FAF">
              <w:rPr>
                <w:rFonts w:cs="Arial"/>
              </w:rPr>
              <w:fldChar w:fldCharType="end"/>
            </w:r>
            <w:r w:rsidRPr="00977FAF">
              <w:rPr>
                <w:rFonts w:cs="Arial"/>
              </w:rPr>
              <w:t xml:space="preserve"> </w:t>
            </w:r>
            <w:r>
              <w:rPr>
                <w:rFonts w:cs="Arial"/>
              </w:rPr>
              <w:t xml:space="preserve">– Senior </w:t>
            </w:r>
            <w:r w:rsidRPr="00977FAF">
              <w:rPr>
                <w:rFonts w:cs="Arial"/>
              </w:rPr>
              <w:fldChar w:fldCharType="begin"/>
            </w:r>
            <w:r w:rsidRPr="00977FAF">
              <w:rPr>
                <w:rFonts w:cs="Arial"/>
              </w:rPr>
              <w:instrText xml:space="preserve"> Docvariable Sig2 </w:instrText>
            </w:r>
            <w:r w:rsidRPr="00977FAF">
              <w:rPr>
                <w:rFonts w:cs="Arial"/>
              </w:rPr>
              <w:fldChar w:fldCharType="separate"/>
            </w:r>
            <w:r>
              <w:rPr>
                <w:rFonts w:cs="Arial"/>
              </w:rPr>
              <w:t>Development Planner</w:t>
            </w:r>
            <w:r w:rsidRPr="00977FAF">
              <w:rPr>
                <w:rFonts w:cs="Arial"/>
              </w:rPr>
              <w:fldChar w:fldCharType="end"/>
            </w:r>
          </w:p>
        </w:tc>
      </w:tr>
      <w:tr w:rsidR="00AC61BD" w:rsidRPr="00944E05" w:rsidTr="00F763FB">
        <w:tblPrEx>
          <w:tblCellMar>
            <w:left w:w="107" w:type="dxa"/>
            <w:right w:w="107" w:type="dxa"/>
          </w:tblCellMar>
        </w:tblPrEx>
        <w:tc>
          <w:tcPr>
            <w:tcW w:w="1276" w:type="dxa"/>
          </w:tcPr>
          <w:p w:rsidR="00AC61BD" w:rsidRPr="00977FAF" w:rsidRDefault="00AC61BD" w:rsidP="00F763FB">
            <w:pPr>
              <w:pStyle w:val="PlainTextBold"/>
              <w:rPr>
                <w:rFonts w:ascii="Arial" w:hAnsi="Arial" w:cs="Arial"/>
                <w:i/>
              </w:rPr>
            </w:pPr>
            <w:r w:rsidRPr="00977FAF">
              <w:rPr>
                <w:rFonts w:ascii="Arial" w:hAnsi="Arial" w:cs="Arial"/>
              </w:rPr>
              <w:t>File:</w:t>
            </w:r>
          </w:p>
        </w:tc>
        <w:tc>
          <w:tcPr>
            <w:tcW w:w="1985" w:type="dxa"/>
          </w:tcPr>
          <w:p w:rsidR="00AC61BD" w:rsidRPr="00977FAF" w:rsidRDefault="00AC61BD" w:rsidP="00F763FB">
            <w:pPr>
              <w:rPr>
                <w:rFonts w:cs="Arial"/>
              </w:rPr>
            </w:pPr>
            <w:r w:rsidRPr="00977FAF">
              <w:rPr>
                <w:rFonts w:cs="Arial"/>
              </w:rPr>
              <w:fldChar w:fldCharType="begin"/>
            </w:r>
            <w:r w:rsidRPr="00977FAF">
              <w:rPr>
                <w:rFonts w:cs="Arial"/>
              </w:rPr>
              <w:instrText xml:space="preserve"> Docvariable FileNo </w:instrText>
            </w:r>
            <w:r w:rsidRPr="00977FAF">
              <w:rPr>
                <w:rFonts w:cs="Arial"/>
              </w:rPr>
              <w:fldChar w:fldCharType="separate"/>
            </w:r>
            <w:r>
              <w:rPr>
                <w:rFonts w:cs="Arial"/>
              </w:rPr>
              <w:t>DA/2294/2021</w:t>
            </w:r>
            <w:r w:rsidRPr="00977FAF">
              <w:rPr>
                <w:rFonts w:cs="Arial"/>
              </w:rPr>
              <w:fldChar w:fldCharType="end"/>
            </w:r>
          </w:p>
        </w:tc>
        <w:tc>
          <w:tcPr>
            <w:tcW w:w="1559" w:type="dxa"/>
          </w:tcPr>
          <w:p w:rsidR="00AC61BD" w:rsidRPr="00977FAF" w:rsidRDefault="00AC61BD" w:rsidP="00F763FB">
            <w:pPr>
              <w:rPr>
                <w:rFonts w:cs="Arial"/>
                <w:b/>
              </w:rPr>
            </w:pPr>
            <w:r w:rsidRPr="00977FAF">
              <w:rPr>
                <w:rFonts w:cs="Arial"/>
                <w:b/>
              </w:rPr>
              <w:t>Reference:</w:t>
            </w:r>
          </w:p>
        </w:tc>
        <w:tc>
          <w:tcPr>
            <w:tcW w:w="1843" w:type="dxa"/>
            <w:tcBorders>
              <w:left w:val="nil"/>
            </w:tcBorders>
          </w:tcPr>
          <w:p w:rsidR="00AC61BD" w:rsidRPr="001963E2" w:rsidRDefault="00AC61BD" w:rsidP="00F763FB">
            <w:pPr>
              <w:rPr>
                <w:rFonts w:cs="Arial"/>
              </w:rPr>
            </w:pPr>
            <w:r w:rsidRPr="001963E2">
              <w:rPr>
                <w:rFonts w:cs="Arial"/>
              </w:rPr>
              <w:t>PPSHCC-90</w:t>
            </w:r>
          </w:p>
        </w:tc>
        <w:tc>
          <w:tcPr>
            <w:tcW w:w="850" w:type="dxa"/>
          </w:tcPr>
          <w:p w:rsidR="00AC61BD" w:rsidRPr="00977FAF" w:rsidRDefault="00AC61BD" w:rsidP="00F763FB">
            <w:pPr>
              <w:pStyle w:val="PlainTextBold"/>
              <w:rPr>
                <w:rFonts w:ascii="Arial" w:hAnsi="Arial" w:cs="Arial"/>
              </w:rPr>
            </w:pPr>
            <w:r w:rsidRPr="00977FAF">
              <w:rPr>
                <w:rFonts w:ascii="Arial" w:hAnsi="Arial" w:cs="Arial"/>
              </w:rPr>
              <w:t>Date:</w:t>
            </w:r>
          </w:p>
        </w:tc>
        <w:tc>
          <w:tcPr>
            <w:tcW w:w="2552" w:type="dxa"/>
          </w:tcPr>
          <w:p w:rsidR="00AC61BD" w:rsidRPr="00D94AA2" w:rsidRDefault="00AC61BD" w:rsidP="00F763FB">
            <w:pPr>
              <w:rPr>
                <w:rFonts w:cs="Arial"/>
                <w:highlight w:val="yellow"/>
              </w:rPr>
            </w:pPr>
            <w:r w:rsidRPr="004B2B51">
              <w:rPr>
                <w:rFonts w:cs="Arial"/>
              </w:rPr>
              <w:fldChar w:fldCharType="begin"/>
            </w:r>
            <w:r w:rsidRPr="004B2B51">
              <w:rPr>
                <w:rFonts w:cs="Arial"/>
              </w:rPr>
              <w:instrText xml:space="preserve"> DATE \@ "dd MMMM yyyy" </w:instrText>
            </w:r>
            <w:r w:rsidRPr="004B2B51">
              <w:rPr>
                <w:rFonts w:cs="Arial"/>
              </w:rPr>
              <w:fldChar w:fldCharType="separate"/>
            </w:r>
            <w:r w:rsidR="00E8056D">
              <w:rPr>
                <w:rFonts w:cs="Arial"/>
                <w:noProof/>
              </w:rPr>
              <w:t>18 May 2022</w:t>
            </w:r>
            <w:r w:rsidRPr="004B2B51">
              <w:rPr>
                <w:rFonts w:cs="Arial"/>
              </w:rPr>
              <w:fldChar w:fldCharType="end"/>
            </w:r>
          </w:p>
        </w:tc>
      </w:tr>
      <w:tr w:rsidR="00AC61BD" w:rsidRPr="00944E05" w:rsidTr="00F763FB">
        <w:tc>
          <w:tcPr>
            <w:tcW w:w="1276" w:type="dxa"/>
          </w:tcPr>
          <w:p w:rsidR="00AC61BD" w:rsidRPr="00977FAF" w:rsidRDefault="00AC61BD" w:rsidP="00F763FB">
            <w:pPr>
              <w:pStyle w:val="PlainTextBold"/>
              <w:rPr>
                <w:rFonts w:ascii="Arial" w:hAnsi="Arial" w:cs="Arial"/>
                <w:i/>
              </w:rPr>
            </w:pPr>
            <w:r w:rsidRPr="00977FAF">
              <w:rPr>
                <w:rFonts w:ascii="Arial" w:hAnsi="Arial" w:cs="Arial"/>
              </w:rPr>
              <w:t>Subject:</w:t>
            </w:r>
          </w:p>
        </w:tc>
        <w:tc>
          <w:tcPr>
            <w:tcW w:w="8789" w:type="dxa"/>
            <w:gridSpan w:val="5"/>
          </w:tcPr>
          <w:p w:rsidR="00AC61BD" w:rsidRPr="0077230F" w:rsidRDefault="00AC61BD" w:rsidP="00F763FB">
            <w:pPr>
              <w:pStyle w:val="PlainTextBold"/>
            </w:pPr>
            <w:r w:rsidRPr="001963E2">
              <w:rPr>
                <w:rFonts w:ascii="Arial" w:hAnsi="Arial" w:cs="Arial"/>
                <w:b w:val="0"/>
              </w:rPr>
              <w:fldChar w:fldCharType="begin"/>
            </w:r>
            <w:r w:rsidRPr="001963E2">
              <w:rPr>
                <w:rFonts w:ascii="Arial" w:hAnsi="Arial" w:cs="Arial"/>
                <w:b w:val="0"/>
              </w:rPr>
              <w:instrText xml:space="preserve"> Docvariable Re1 </w:instrText>
            </w:r>
            <w:r w:rsidRPr="001963E2">
              <w:rPr>
                <w:rFonts w:ascii="Arial" w:hAnsi="Arial" w:cs="Arial"/>
                <w:b w:val="0"/>
              </w:rPr>
              <w:fldChar w:fldCharType="separate"/>
            </w:r>
            <w:r w:rsidRPr="001963E2">
              <w:rPr>
                <w:rFonts w:ascii="Arial" w:hAnsi="Arial" w:cs="Arial"/>
                <w:b w:val="0"/>
              </w:rPr>
              <w:t xml:space="preserve">Supplementary </w:t>
            </w:r>
            <w:r>
              <w:rPr>
                <w:rFonts w:ascii="Arial" w:hAnsi="Arial" w:cs="Arial"/>
                <w:b w:val="0"/>
              </w:rPr>
              <w:t>i</w:t>
            </w:r>
            <w:r w:rsidRPr="001963E2">
              <w:rPr>
                <w:rFonts w:ascii="Arial" w:hAnsi="Arial" w:cs="Arial"/>
                <w:b w:val="0"/>
              </w:rPr>
              <w:t>nformation</w:t>
            </w:r>
            <w:r w:rsidRPr="001963E2">
              <w:rPr>
                <w:rFonts w:ascii="Arial" w:hAnsi="Arial" w:cs="Arial"/>
                <w:b w:val="0"/>
              </w:rPr>
              <w:fldChar w:fldCharType="end"/>
            </w:r>
            <w:r>
              <w:rPr>
                <w:rFonts w:ascii="Arial" w:hAnsi="Arial" w:cs="Arial"/>
                <w:b w:val="0"/>
              </w:rPr>
              <w:t xml:space="preserve"> following determination meeting</w:t>
            </w:r>
          </w:p>
        </w:tc>
      </w:tr>
    </w:tbl>
    <w:p w:rsidR="00AC61BD" w:rsidRDefault="00AC61BD" w:rsidP="00AC61BD">
      <w:pPr>
        <w:pStyle w:val="Header"/>
        <w:rPr>
          <w:rFonts w:cs="Arial"/>
        </w:rPr>
      </w:pPr>
      <w:bookmarkStart w:id="1" w:name="Type"/>
      <w:bookmarkEnd w:id="1"/>
      <w:r>
        <w:rPr>
          <w:rFonts w:cs="Arial"/>
        </w:rPr>
        <w:t>This memorandum addresses the matters raised by Regional Planning Panel (</w:t>
      </w:r>
      <w:proofErr w:type="spellStart"/>
      <w:r>
        <w:rPr>
          <w:rFonts w:cs="Arial"/>
        </w:rPr>
        <w:t>RPP</w:t>
      </w:r>
      <w:proofErr w:type="spellEnd"/>
      <w:r>
        <w:rPr>
          <w:rFonts w:cs="Arial"/>
        </w:rPr>
        <w:t xml:space="preserve">) in the determination meeting on 4 May 2022, as detailed below. </w:t>
      </w:r>
    </w:p>
    <w:p w:rsidR="00AC61BD" w:rsidRDefault="00AC61BD" w:rsidP="00AC61BD">
      <w:pPr>
        <w:pStyle w:val="Header"/>
        <w:rPr>
          <w:rFonts w:cs="Arial"/>
          <w:b/>
        </w:rPr>
      </w:pPr>
      <w:r>
        <w:rPr>
          <w:rFonts w:cs="Arial"/>
          <w:b/>
        </w:rPr>
        <w:t>Summary of c</w:t>
      </w:r>
      <w:r w:rsidRPr="00791724">
        <w:rPr>
          <w:rFonts w:cs="Arial"/>
          <w:b/>
        </w:rPr>
        <w:t>hanges to draft conditions of consent</w:t>
      </w:r>
    </w:p>
    <w:p w:rsidR="00AC61BD" w:rsidRDefault="00AC61BD" w:rsidP="00AC61BD">
      <w:pPr>
        <w:pStyle w:val="Header"/>
        <w:rPr>
          <w:rFonts w:cs="Arial"/>
        </w:rPr>
      </w:pPr>
      <w:r w:rsidRPr="00F36E85">
        <w:rPr>
          <w:rFonts w:cs="Arial"/>
        </w:rPr>
        <w:t>Conditions added:</w:t>
      </w:r>
    </w:p>
    <w:p w:rsidR="00AC61BD" w:rsidRDefault="00AC61BD" w:rsidP="00AC61BD">
      <w:pPr>
        <w:pStyle w:val="Header"/>
        <w:numPr>
          <w:ilvl w:val="0"/>
          <w:numId w:val="35"/>
        </w:numPr>
        <w:rPr>
          <w:rFonts w:cs="Arial"/>
        </w:rPr>
      </w:pPr>
      <w:r>
        <w:rPr>
          <w:rFonts w:cs="Arial"/>
        </w:rPr>
        <w:t>Condition 24 – Electric vehicle charging</w:t>
      </w:r>
    </w:p>
    <w:p w:rsidR="00AC61BD" w:rsidRDefault="00AC61BD" w:rsidP="00AC61BD">
      <w:pPr>
        <w:pStyle w:val="Header"/>
        <w:ind w:left="720"/>
        <w:rPr>
          <w:rFonts w:cs="Arial"/>
        </w:rPr>
      </w:pPr>
      <w:r>
        <w:rPr>
          <w:rFonts w:cs="Arial"/>
        </w:rPr>
        <w:t>Plans to be submitted prior to construction certificate.</w:t>
      </w:r>
    </w:p>
    <w:p w:rsidR="00AC61BD" w:rsidRDefault="00AC61BD" w:rsidP="00AC61BD">
      <w:pPr>
        <w:pStyle w:val="Header"/>
        <w:numPr>
          <w:ilvl w:val="0"/>
          <w:numId w:val="35"/>
        </w:numPr>
        <w:rPr>
          <w:rFonts w:cs="Arial"/>
        </w:rPr>
      </w:pPr>
      <w:r>
        <w:rPr>
          <w:rFonts w:cs="Arial"/>
        </w:rPr>
        <w:t xml:space="preserve">Condition 66 – Acid </w:t>
      </w:r>
      <w:proofErr w:type="spellStart"/>
      <w:r>
        <w:rPr>
          <w:rFonts w:cs="Arial"/>
        </w:rPr>
        <w:t>Sulfate</w:t>
      </w:r>
      <w:proofErr w:type="spellEnd"/>
      <w:r>
        <w:rPr>
          <w:rFonts w:cs="Arial"/>
        </w:rPr>
        <w:t xml:space="preserve"> Soil Management Plan</w:t>
      </w:r>
    </w:p>
    <w:p w:rsidR="00AC61BD" w:rsidRDefault="00AC61BD" w:rsidP="00AC61BD">
      <w:pPr>
        <w:pStyle w:val="Header"/>
        <w:ind w:left="720"/>
        <w:rPr>
          <w:rFonts w:cs="Arial"/>
        </w:rPr>
      </w:pPr>
      <w:r>
        <w:rPr>
          <w:rFonts w:cs="Arial"/>
        </w:rPr>
        <w:t>Refers to the approved management plan.</w:t>
      </w:r>
    </w:p>
    <w:p w:rsidR="00AC61BD" w:rsidRPr="000C5801" w:rsidRDefault="00AC61BD" w:rsidP="00AC61BD">
      <w:pPr>
        <w:pStyle w:val="Header"/>
        <w:numPr>
          <w:ilvl w:val="0"/>
          <w:numId w:val="35"/>
        </w:numPr>
        <w:rPr>
          <w:rFonts w:cs="Arial"/>
        </w:rPr>
      </w:pPr>
      <w:r w:rsidRPr="000C5801">
        <w:rPr>
          <w:rFonts w:cs="Arial"/>
        </w:rPr>
        <w:t>Condition 92 – Stormwater pipe within easement</w:t>
      </w:r>
    </w:p>
    <w:p w:rsidR="00AC61BD" w:rsidRDefault="00AC61BD" w:rsidP="00AC61BD">
      <w:pPr>
        <w:pStyle w:val="Header"/>
        <w:ind w:left="720"/>
        <w:rPr>
          <w:rFonts w:cs="Arial"/>
        </w:rPr>
      </w:pPr>
      <w:r w:rsidRPr="000C5801">
        <w:rPr>
          <w:rFonts w:cs="Arial"/>
        </w:rPr>
        <w:t>Stormwater pipe within easement to be installed prior to works above being completed.</w:t>
      </w:r>
    </w:p>
    <w:p w:rsidR="00AC61BD" w:rsidRDefault="00AC61BD" w:rsidP="00AC61BD">
      <w:pPr>
        <w:pStyle w:val="Header"/>
        <w:numPr>
          <w:ilvl w:val="0"/>
          <w:numId w:val="35"/>
        </w:numPr>
        <w:rPr>
          <w:rFonts w:cs="Arial"/>
        </w:rPr>
      </w:pPr>
      <w:r>
        <w:rPr>
          <w:rFonts w:cs="Arial"/>
        </w:rPr>
        <w:t>Condition 93 – Electric vehicle charging</w:t>
      </w:r>
    </w:p>
    <w:p w:rsidR="00AC61BD" w:rsidRDefault="00AC61BD" w:rsidP="00AC61BD">
      <w:pPr>
        <w:pStyle w:val="Header"/>
        <w:ind w:left="720"/>
        <w:rPr>
          <w:rFonts w:cs="Arial"/>
        </w:rPr>
      </w:pPr>
      <w:r>
        <w:rPr>
          <w:rFonts w:cs="Arial"/>
        </w:rPr>
        <w:t>Vehicle charger installation to be confirmed prior to occupation certificate.</w:t>
      </w:r>
    </w:p>
    <w:p w:rsidR="00AC61BD" w:rsidRPr="000C5801" w:rsidRDefault="00AC61BD" w:rsidP="00AC61BD">
      <w:pPr>
        <w:pStyle w:val="Header"/>
        <w:numPr>
          <w:ilvl w:val="0"/>
          <w:numId w:val="35"/>
        </w:numPr>
        <w:rPr>
          <w:rFonts w:cs="Arial"/>
        </w:rPr>
      </w:pPr>
      <w:r w:rsidRPr="000C5801">
        <w:rPr>
          <w:rFonts w:cs="Arial"/>
        </w:rPr>
        <w:t>Condition 96 – Block out blinds</w:t>
      </w:r>
    </w:p>
    <w:p w:rsidR="00AC61BD" w:rsidRDefault="00AC61BD" w:rsidP="00AC61BD">
      <w:pPr>
        <w:pStyle w:val="Header"/>
        <w:ind w:left="720"/>
        <w:rPr>
          <w:rFonts w:cs="Arial"/>
        </w:rPr>
      </w:pPr>
      <w:r w:rsidRPr="000C5801">
        <w:rPr>
          <w:rFonts w:cs="Arial"/>
        </w:rPr>
        <w:t>Management of light spill for bedrooms facing sports grounds.</w:t>
      </w:r>
    </w:p>
    <w:p w:rsidR="00AC61BD" w:rsidRDefault="00AC61BD" w:rsidP="00AC61BD">
      <w:pPr>
        <w:pStyle w:val="Header"/>
        <w:rPr>
          <w:rFonts w:cs="Arial"/>
        </w:rPr>
      </w:pPr>
      <w:r>
        <w:rPr>
          <w:rFonts w:cs="Arial"/>
        </w:rPr>
        <w:t>Conditions deleted:</w:t>
      </w:r>
    </w:p>
    <w:p w:rsidR="00AC61BD" w:rsidRDefault="00AC61BD" w:rsidP="00AC61BD">
      <w:pPr>
        <w:pStyle w:val="Header"/>
        <w:numPr>
          <w:ilvl w:val="0"/>
          <w:numId w:val="35"/>
        </w:numPr>
        <w:rPr>
          <w:rFonts w:cs="Arial"/>
        </w:rPr>
      </w:pPr>
      <w:r>
        <w:rPr>
          <w:rFonts w:cs="Arial"/>
        </w:rPr>
        <w:t>Former condition 48 – Street Lighting</w:t>
      </w:r>
    </w:p>
    <w:p w:rsidR="00AC61BD" w:rsidRDefault="00AC61BD" w:rsidP="00AC61BD">
      <w:pPr>
        <w:pStyle w:val="Header"/>
        <w:ind w:left="720"/>
        <w:rPr>
          <w:rFonts w:cs="Arial"/>
        </w:rPr>
      </w:pPr>
      <w:r>
        <w:rPr>
          <w:rFonts w:cs="Arial"/>
        </w:rPr>
        <w:t>Condition was added in error – no street lighting is proposed.</w:t>
      </w:r>
    </w:p>
    <w:p w:rsidR="00AC61BD" w:rsidRDefault="00AC61BD" w:rsidP="00AC61BD">
      <w:pPr>
        <w:pStyle w:val="Header"/>
        <w:rPr>
          <w:rFonts w:cs="Arial"/>
        </w:rPr>
      </w:pPr>
      <w:r>
        <w:rPr>
          <w:rFonts w:cs="Arial"/>
        </w:rPr>
        <w:t>Conditions modified:</w:t>
      </w:r>
    </w:p>
    <w:p w:rsidR="00AC61BD" w:rsidRDefault="00AC61BD" w:rsidP="00AC61BD">
      <w:pPr>
        <w:pStyle w:val="Header"/>
        <w:numPr>
          <w:ilvl w:val="0"/>
          <w:numId w:val="35"/>
        </w:numPr>
        <w:rPr>
          <w:rFonts w:cs="Arial"/>
        </w:rPr>
      </w:pPr>
      <w:r>
        <w:rPr>
          <w:rFonts w:cs="Arial"/>
        </w:rPr>
        <w:t>Condition 2 – Approved Documentation</w:t>
      </w:r>
    </w:p>
    <w:p w:rsidR="00AC61BD" w:rsidRDefault="00AC61BD" w:rsidP="00AC61BD">
      <w:pPr>
        <w:pStyle w:val="Header"/>
        <w:ind w:left="720"/>
        <w:rPr>
          <w:rFonts w:cs="Arial"/>
        </w:rPr>
      </w:pPr>
      <w:r>
        <w:rPr>
          <w:rFonts w:cs="Arial"/>
        </w:rPr>
        <w:t xml:space="preserve">Acid </w:t>
      </w:r>
      <w:proofErr w:type="spellStart"/>
      <w:r>
        <w:rPr>
          <w:rFonts w:cs="Arial"/>
        </w:rPr>
        <w:t>Sulfate</w:t>
      </w:r>
      <w:proofErr w:type="spellEnd"/>
      <w:r>
        <w:rPr>
          <w:rFonts w:cs="Arial"/>
        </w:rPr>
        <w:t xml:space="preserve"> Soil management plan added to section b) Document Reference.</w:t>
      </w:r>
    </w:p>
    <w:p w:rsidR="00AC61BD" w:rsidRDefault="00AC61BD" w:rsidP="00AC61BD">
      <w:pPr>
        <w:pStyle w:val="Header"/>
        <w:ind w:left="720"/>
        <w:rPr>
          <w:rFonts w:cs="Arial"/>
        </w:rPr>
      </w:pPr>
      <w:r w:rsidRPr="004B2B51">
        <w:rPr>
          <w:rFonts w:cs="Arial"/>
        </w:rPr>
        <w:t>Update to pipe network plan Northrop drawing DAC08.01 Rev A (with Council mark up in red) dated 25.03.2022.</w:t>
      </w:r>
    </w:p>
    <w:p w:rsidR="00AC61BD" w:rsidRDefault="00AC61BD" w:rsidP="00AC61BD">
      <w:pPr>
        <w:pStyle w:val="Header"/>
        <w:numPr>
          <w:ilvl w:val="0"/>
          <w:numId w:val="35"/>
        </w:numPr>
        <w:rPr>
          <w:rFonts w:cs="Arial"/>
        </w:rPr>
      </w:pPr>
      <w:r>
        <w:rPr>
          <w:rFonts w:cs="Arial"/>
        </w:rPr>
        <w:t>Condition 4 – Water NSW – General Terms of Approval</w:t>
      </w:r>
    </w:p>
    <w:p w:rsidR="00AC61BD" w:rsidRDefault="00AC61BD" w:rsidP="00AC61BD">
      <w:pPr>
        <w:pStyle w:val="Header"/>
        <w:ind w:left="720"/>
        <w:rPr>
          <w:rFonts w:cs="Arial"/>
        </w:rPr>
      </w:pPr>
      <w:r>
        <w:rPr>
          <w:rFonts w:cs="Arial"/>
        </w:rPr>
        <w:t>General Terms of Approval added as issued by Water NSW.</w:t>
      </w:r>
    </w:p>
    <w:p w:rsidR="00AC61BD" w:rsidRDefault="00AC61BD" w:rsidP="00AC61BD">
      <w:pPr>
        <w:pStyle w:val="ListParagraph"/>
        <w:numPr>
          <w:ilvl w:val="0"/>
          <w:numId w:val="35"/>
        </w:numPr>
        <w:spacing w:after="160"/>
        <w:rPr>
          <w:rFonts w:cs="Arial"/>
        </w:rPr>
      </w:pPr>
      <w:r w:rsidRPr="00F36E85">
        <w:rPr>
          <w:rFonts w:cs="Arial"/>
        </w:rPr>
        <w:t xml:space="preserve">Condition 5 </w:t>
      </w:r>
      <w:r>
        <w:rPr>
          <w:rFonts w:cs="Arial"/>
        </w:rPr>
        <w:t>–</w:t>
      </w:r>
      <w:r w:rsidRPr="00F36E85">
        <w:rPr>
          <w:rFonts w:cs="Arial"/>
        </w:rPr>
        <w:t xml:space="preserve"> Contribution</w:t>
      </w:r>
      <w:r>
        <w:rPr>
          <w:rFonts w:cs="Arial"/>
        </w:rPr>
        <w:t xml:space="preserve"> </w:t>
      </w:r>
      <w:r w:rsidRPr="00F36E85">
        <w:rPr>
          <w:rFonts w:cs="Arial"/>
        </w:rPr>
        <w:t>Toward Provision or Improvement of Amenities or Services</w:t>
      </w:r>
    </w:p>
    <w:p w:rsidR="00AC61BD" w:rsidRPr="00F36E85" w:rsidRDefault="00AC61BD" w:rsidP="00AC61BD">
      <w:pPr>
        <w:ind w:left="720"/>
        <w:rPr>
          <w:rFonts w:cs="Arial"/>
        </w:rPr>
      </w:pPr>
      <w:r>
        <w:rPr>
          <w:rFonts w:cs="Arial"/>
        </w:rPr>
        <w:t>Indexation of development contributions.</w:t>
      </w:r>
    </w:p>
    <w:p w:rsidR="00AC61BD" w:rsidRPr="00E6482F" w:rsidRDefault="00AC61BD" w:rsidP="00AC61BD">
      <w:pPr>
        <w:pStyle w:val="Header"/>
        <w:numPr>
          <w:ilvl w:val="0"/>
          <w:numId w:val="35"/>
        </w:numPr>
        <w:rPr>
          <w:rFonts w:cs="Arial"/>
        </w:rPr>
      </w:pPr>
      <w:r w:rsidRPr="00E6482F">
        <w:rPr>
          <w:rFonts w:cs="Arial"/>
        </w:rPr>
        <w:lastRenderedPageBreak/>
        <w:t>Condition 91 – Restriction on the users of the site</w:t>
      </w:r>
    </w:p>
    <w:p w:rsidR="00AC61BD" w:rsidRDefault="00AC61BD" w:rsidP="00AC61BD">
      <w:pPr>
        <w:pStyle w:val="Header"/>
        <w:ind w:left="720"/>
        <w:rPr>
          <w:rFonts w:cs="Arial"/>
        </w:rPr>
      </w:pPr>
      <w:r w:rsidRPr="00E6482F">
        <w:rPr>
          <w:rFonts w:cs="Arial"/>
        </w:rPr>
        <w:t>Clarified the defined age of “Seniors” as discussed at the determination meeting and deleted the alternative condition option.</w:t>
      </w:r>
    </w:p>
    <w:p w:rsidR="00AC61BD" w:rsidRPr="00197602" w:rsidRDefault="00AC61BD" w:rsidP="00AC61BD">
      <w:pPr>
        <w:pStyle w:val="Header"/>
        <w:numPr>
          <w:ilvl w:val="0"/>
          <w:numId w:val="34"/>
        </w:numPr>
        <w:rPr>
          <w:rFonts w:cs="Arial"/>
        </w:rPr>
      </w:pPr>
      <w:r w:rsidRPr="00197602">
        <w:rPr>
          <w:rFonts w:cs="Arial"/>
        </w:rPr>
        <w:t>Numbering of conditions corrected</w:t>
      </w:r>
    </w:p>
    <w:p w:rsidR="00AC61BD" w:rsidRPr="00791724" w:rsidRDefault="00AC61BD" w:rsidP="00AC61BD">
      <w:pPr>
        <w:pStyle w:val="Header"/>
        <w:rPr>
          <w:rFonts w:cs="Arial"/>
          <w:b/>
        </w:rPr>
      </w:pPr>
      <w:r w:rsidRPr="00791724">
        <w:rPr>
          <w:rFonts w:cs="Arial"/>
          <w:b/>
        </w:rPr>
        <w:t xml:space="preserve">Acid </w:t>
      </w:r>
      <w:proofErr w:type="spellStart"/>
      <w:r w:rsidRPr="00791724">
        <w:rPr>
          <w:rFonts w:cs="Arial"/>
          <w:b/>
        </w:rPr>
        <w:t>Sulfate</w:t>
      </w:r>
      <w:proofErr w:type="spellEnd"/>
      <w:r w:rsidRPr="00791724">
        <w:rPr>
          <w:rFonts w:cs="Arial"/>
          <w:b/>
        </w:rPr>
        <w:t xml:space="preserve"> Soil Management Plan</w:t>
      </w:r>
    </w:p>
    <w:p w:rsidR="00AC61BD" w:rsidRDefault="00AC61BD" w:rsidP="00AC61BD">
      <w:pPr>
        <w:pStyle w:val="Header"/>
        <w:rPr>
          <w:rFonts w:cs="Arial"/>
        </w:rPr>
      </w:pPr>
      <w:r>
        <w:rPr>
          <w:rFonts w:cs="Arial"/>
        </w:rPr>
        <w:t xml:space="preserve">In accordance with </w:t>
      </w:r>
      <w:r w:rsidRPr="00D94AA2">
        <w:rPr>
          <w:rFonts w:cs="Arial"/>
          <w:i/>
        </w:rPr>
        <w:t>Lake Macquarie Local Environment Plan 2014</w:t>
      </w:r>
      <w:r>
        <w:rPr>
          <w:rFonts w:cs="Arial"/>
        </w:rPr>
        <w:t xml:space="preserve"> clause 7.1(3), development consent must not be granted for the carrying out of works unless an acid </w:t>
      </w:r>
      <w:proofErr w:type="spellStart"/>
      <w:r>
        <w:rPr>
          <w:rFonts w:cs="Arial"/>
        </w:rPr>
        <w:t>sulfate</w:t>
      </w:r>
      <w:proofErr w:type="spellEnd"/>
      <w:r>
        <w:rPr>
          <w:rFonts w:cs="Arial"/>
        </w:rPr>
        <w:t xml:space="preserve"> soils management plan has been prepared for the proposed works in accordance with the Acid </w:t>
      </w:r>
      <w:proofErr w:type="spellStart"/>
      <w:r>
        <w:rPr>
          <w:rFonts w:cs="Arial"/>
        </w:rPr>
        <w:t>Sulfate</w:t>
      </w:r>
      <w:proofErr w:type="spellEnd"/>
      <w:r>
        <w:rPr>
          <w:rFonts w:cs="Arial"/>
        </w:rPr>
        <w:t xml:space="preserve"> Soils Manual and provided to the consent authority.</w:t>
      </w:r>
    </w:p>
    <w:p w:rsidR="00AC61BD" w:rsidRDefault="00AC61BD" w:rsidP="00AC61BD">
      <w:pPr>
        <w:pStyle w:val="Header"/>
        <w:rPr>
          <w:rFonts w:cs="Arial"/>
        </w:rPr>
      </w:pPr>
      <w:r>
        <w:rPr>
          <w:rFonts w:cs="Arial"/>
        </w:rPr>
        <w:t xml:space="preserve">An acid </w:t>
      </w:r>
      <w:proofErr w:type="spellStart"/>
      <w:r>
        <w:rPr>
          <w:rFonts w:cs="Arial"/>
        </w:rPr>
        <w:t>sulfate</w:t>
      </w:r>
      <w:proofErr w:type="spellEnd"/>
      <w:r>
        <w:rPr>
          <w:rFonts w:cs="Arial"/>
        </w:rPr>
        <w:t xml:space="preserve"> soil management plan prepared by Douglas Partners for the development has been submitted. The management plan was prepared in accordance with the Acid </w:t>
      </w:r>
      <w:proofErr w:type="spellStart"/>
      <w:r>
        <w:rPr>
          <w:rFonts w:cs="Arial"/>
        </w:rPr>
        <w:t>Sulfate</w:t>
      </w:r>
      <w:proofErr w:type="spellEnd"/>
      <w:r>
        <w:rPr>
          <w:rFonts w:cs="Arial"/>
        </w:rPr>
        <w:t xml:space="preserve"> Soil Manual.</w:t>
      </w:r>
    </w:p>
    <w:p w:rsidR="00AC61BD" w:rsidRDefault="00AC61BD" w:rsidP="00AC61BD">
      <w:pPr>
        <w:pStyle w:val="Header"/>
        <w:rPr>
          <w:rFonts w:cs="Arial"/>
        </w:rPr>
      </w:pPr>
      <w:r w:rsidRPr="00533E8B">
        <w:rPr>
          <w:rFonts w:cs="Arial"/>
        </w:rPr>
        <w:t>The management plan has been included in the list of approved documents and referenced in a condition of consent.</w:t>
      </w:r>
    </w:p>
    <w:p w:rsidR="00AC61BD" w:rsidRDefault="00AC61BD" w:rsidP="00AC61BD">
      <w:pPr>
        <w:pStyle w:val="Header"/>
        <w:rPr>
          <w:rFonts w:cs="Arial"/>
          <w:b/>
        </w:rPr>
      </w:pPr>
      <w:r>
        <w:rPr>
          <w:rFonts w:cs="Arial"/>
          <w:b/>
        </w:rPr>
        <w:t>Timing of implementation of stormwater works</w:t>
      </w:r>
    </w:p>
    <w:p w:rsidR="00AC61BD" w:rsidRPr="00E507F4" w:rsidRDefault="00AC61BD" w:rsidP="00AC61BD">
      <w:pPr>
        <w:pStyle w:val="Header"/>
        <w:rPr>
          <w:rFonts w:cs="Arial"/>
        </w:rPr>
      </w:pPr>
      <w:r w:rsidRPr="00E507F4">
        <w:rPr>
          <w:rFonts w:cs="Arial"/>
        </w:rPr>
        <w:t xml:space="preserve">During the determination meeting the Panel discussed the timing of the stormwater work located within the easement. The applicant has indicated the scheduling of work will be determined by the contractor, and the precise timing is not yet known. A condition has been prepared </w:t>
      </w:r>
      <w:r>
        <w:rPr>
          <w:rFonts w:cs="Arial"/>
        </w:rPr>
        <w:t xml:space="preserve">(as identified below) </w:t>
      </w:r>
      <w:r w:rsidRPr="00E507F4">
        <w:rPr>
          <w:rFonts w:cs="Arial"/>
        </w:rPr>
        <w:t xml:space="preserve">which restricts the completion of work above the stormwater pipe until after the pipe has been completed. It is known the adjacent development is underway and intends to be operational by the end of 2022, which will require the delivery of the pipe. </w:t>
      </w:r>
    </w:p>
    <w:p w:rsidR="00AC61BD" w:rsidRPr="00E507F4" w:rsidRDefault="00AC61BD" w:rsidP="00AC61BD">
      <w:pPr>
        <w:pStyle w:val="PathwayCondNo"/>
        <w:numPr>
          <w:ilvl w:val="0"/>
          <w:numId w:val="0"/>
        </w:numPr>
        <w:ind w:left="567"/>
        <w:rPr>
          <w:b w:val="0"/>
        </w:rPr>
      </w:pPr>
      <w:r w:rsidRPr="00E507F4">
        <w:rPr>
          <w:b w:val="0"/>
        </w:rPr>
        <w:t>Condition 92 Stormwater pipe within easement</w:t>
      </w:r>
    </w:p>
    <w:p w:rsidR="00AC61BD" w:rsidRPr="008B090D" w:rsidRDefault="00AC61BD" w:rsidP="00AC61BD">
      <w:pPr>
        <w:ind w:left="567"/>
      </w:pPr>
      <w:r w:rsidRPr="00E507F4">
        <w:t>No construction or landscaping works are to be finalised within the portion of the site affected by the easement to drain water (DP 1236307) until such time as the stormwater pipe / culvert within the easement as shown on Northrop drawing DAC03.01 Rev E (dated 25/03/22) has been completed.</w:t>
      </w:r>
    </w:p>
    <w:p w:rsidR="00AC61BD" w:rsidRPr="00D94AA2" w:rsidRDefault="00AC61BD" w:rsidP="00AC61BD">
      <w:pPr>
        <w:pStyle w:val="Header"/>
        <w:rPr>
          <w:rFonts w:cs="Arial"/>
        </w:rPr>
      </w:pPr>
      <w:r w:rsidRPr="004B2B51">
        <w:rPr>
          <w:rFonts w:cs="Arial"/>
        </w:rPr>
        <w:t xml:space="preserve">As identified during the determination meeting, a </w:t>
      </w:r>
      <w:proofErr w:type="gramStart"/>
      <w:r w:rsidRPr="004B2B51">
        <w:rPr>
          <w:rFonts w:cs="Arial"/>
        </w:rPr>
        <w:t>marked up</w:t>
      </w:r>
      <w:proofErr w:type="gramEnd"/>
      <w:r w:rsidRPr="004B2B51">
        <w:rPr>
          <w:rFonts w:cs="Arial"/>
        </w:rPr>
        <w:t xml:space="preserve"> plan has been devised to clearly delineate the stormwater works included in this consent, and those that will be undertaken via a separate Part 5 approval pathway. A copy of this plan is attached for the Panel’s consideration, and has been included in revised condition 2.</w:t>
      </w:r>
    </w:p>
    <w:p w:rsidR="00AC61BD" w:rsidRDefault="00AC61BD" w:rsidP="00AC61BD">
      <w:pPr>
        <w:pStyle w:val="Header"/>
        <w:rPr>
          <w:rFonts w:cs="Arial"/>
        </w:rPr>
      </w:pPr>
      <w:r w:rsidRPr="00791724">
        <w:rPr>
          <w:rFonts w:cs="Arial"/>
          <w:b/>
        </w:rPr>
        <w:t>Water NSW General Terms of Approva</w:t>
      </w:r>
      <w:r>
        <w:rPr>
          <w:rFonts w:cs="Arial"/>
        </w:rPr>
        <w:t>l</w:t>
      </w:r>
    </w:p>
    <w:p w:rsidR="00AC61BD" w:rsidRDefault="00AC61BD" w:rsidP="00AC61BD">
      <w:pPr>
        <w:pStyle w:val="Header"/>
        <w:rPr>
          <w:rFonts w:cs="Arial"/>
        </w:rPr>
      </w:pPr>
      <w:r>
        <w:rPr>
          <w:rFonts w:cs="Arial"/>
        </w:rPr>
        <w:t xml:space="preserve">The application is integrated development under s91 of the </w:t>
      </w:r>
      <w:r w:rsidRPr="00D94AA2">
        <w:rPr>
          <w:rFonts w:cs="Arial"/>
          <w:i/>
        </w:rPr>
        <w:t>Water Management Act 2000</w:t>
      </w:r>
      <w:r>
        <w:rPr>
          <w:rFonts w:cs="Arial"/>
        </w:rPr>
        <w:t xml:space="preserve">, as the site will require dewatering during construction. </w:t>
      </w:r>
    </w:p>
    <w:p w:rsidR="00AC61BD" w:rsidRDefault="00AC61BD" w:rsidP="00AC61BD">
      <w:pPr>
        <w:pStyle w:val="Header"/>
        <w:rPr>
          <w:rFonts w:cs="Arial"/>
        </w:rPr>
      </w:pPr>
      <w:r>
        <w:rPr>
          <w:rFonts w:cs="Arial"/>
        </w:rPr>
        <w:t>The application was referred to Water NSW, who issued General Terms of Approval (</w:t>
      </w:r>
      <w:proofErr w:type="spellStart"/>
      <w:r>
        <w:rPr>
          <w:rFonts w:cs="Arial"/>
        </w:rPr>
        <w:t>GTAs</w:t>
      </w:r>
      <w:proofErr w:type="spellEnd"/>
      <w:r>
        <w:rPr>
          <w:rFonts w:cs="Arial"/>
        </w:rPr>
        <w:t xml:space="preserve">) on 10 May 2022. </w:t>
      </w:r>
      <w:r w:rsidRPr="00761EBB">
        <w:rPr>
          <w:rFonts w:cs="Arial"/>
        </w:rPr>
        <w:t xml:space="preserve">The </w:t>
      </w:r>
      <w:proofErr w:type="spellStart"/>
      <w:r w:rsidRPr="00761EBB">
        <w:rPr>
          <w:rFonts w:cs="Arial"/>
        </w:rPr>
        <w:t>GTAs</w:t>
      </w:r>
      <w:proofErr w:type="spellEnd"/>
      <w:r w:rsidRPr="00761EBB">
        <w:rPr>
          <w:rFonts w:cs="Arial"/>
        </w:rPr>
        <w:t xml:space="preserve"> </w:t>
      </w:r>
      <w:r>
        <w:rPr>
          <w:rFonts w:cs="Arial"/>
        </w:rPr>
        <w:t xml:space="preserve">do not have an impact upon the site layout or built form considered by Council and the Panel. The </w:t>
      </w:r>
      <w:proofErr w:type="spellStart"/>
      <w:r>
        <w:rPr>
          <w:rFonts w:cs="Arial"/>
        </w:rPr>
        <w:t>GTAs</w:t>
      </w:r>
      <w:proofErr w:type="spellEnd"/>
      <w:r>
        <w:rPr>
          <w:rFonts w:cs="Arial"/>
        </w:rPr>
        <w:t xml:space="preserve"> </w:t>
      </w:r>
      <w:r w:rsidRPr="00761EBB">
        <w:rPr>
          <w:rFonts w:cs="Arial"/>
        </w:rPr>
        <w:t>have been incorporated into the revised draft conditions of consent.</w:t>
      </w:r>
    </w:p>
    <w:p w:rsidR="00AC61BD" w:rsidRDefault="00AC61BD" w:rsidP="00AC61BD">
      <w:pPr>
        <w:pStyle w:val="Header"/>
        <w:rPr>
          <w:rFonts w:cs="Arial"/>
          <w:b/>
        </w:rPr>
      </w:pPr>
      <w:r>
        <w:rPr>
          <w:rFonts w:cs="Arial"/>
          <w:b/>
        </w:rPr>
        <w:t xml:space="preserve">Electric vehicle charging </w:t>
      </w:r>
      <w:r w:rsidRPr="004545AF">
        <w:rPr>
          <w:rFonts w:cs="Arial"/>
          <w:b/>
        </w:rPr>
        <w:t>points</w:t>
      </w:r>
    </w:p>
    <w:p w:rsidR="00AC61BD" w:rsidRDefault="00AC61BD" w:rsidP="00AC61BD">
      <w:pPr>
        <w:pStyle w:val="Header"/>
        <w:rPr>
          <w:rFonts w:cs="Arial"/>
        </w:rPr>
      </w:pPr>
      <w:r>
        <w:rPr>
          <w:rFonts w:cs="Arial"/>
        </w:rPr>
        <w:t xml:space="preserve">A new condition has been added to capture the inclusion of electric vehicle (EV) charging points in the residential basement.  </w:t>
      </w:r>
    </w:p>
    <w:p w:rsidR="00AC61BD" w:rsidRDefault="00AC61BD" w:rsidP="00AC61BD">
      <w:pPr>
        <w:pStyle w:val="Header"/>
        <w:rPr>
          <w:rFonts w:cs="Arial"/>
        </w:rPr>
      </w:pPr>
      <w:r>
        <w:rPr>
          <w:rFonts w:cs="Arial"/>
        </w:rPr>
        <w:t>As Lake Macquarie City Council does not have an adopted policy for EV, the requirement is based on City of Newcastle’s adopted transport and sustainability goals.</w:t>
      </w:r>
    </w:p>
    <w:p w:rsidR="00AC61BD" w:rsidRDefault="00AC61BD" w:rsidP="00AC61BD">
      <w:pPr>
        <w:pStyle w:val="Header"/>
        <w:ind w:left="502" w:firstLine="207"/>
        <w:rPr>
          <w:rFonts w:cs="Arial"/>
        </w:rPr>
      </w:pPr>
      <w:bookmarkStart w:id="2" w:name="_Hlk103268852"/>
      <w:r>
        <w:rPr>
          <w:rFonts w:cs="Arial"/>
        </w:rPr>
        <w:t>Condition 24 – Electric vehicle charging</w:t>
      </w:r>
    </w:p>
    <w:p w:rsidR="00AC61BD" w:rsidRPr="006D02F4" w:rsidRDefault="00AC61BD" w:rsidP="00AC61BD">
      <w:pPr>
        <w:ind w:left="709"/>
      </w:pPr>
      <w:r w:rsidRPr="006D02F4">
        <w:lastRenderedPageBreak/>
        <w:t>At least 5% of the parking spaces at the basement level shall be provided with a minimum ‘Level 2’ charging point consisting of single or three-phase point with a power range of 7kW-22kW, as defined by NSW Electric and Hybrid Vehicle Plan, Future Transport 2056 (21 January 2019)</w:t>
      </w:r>
    </w:p>
    <w:bookmarkEnd w:id="2"/>
    <w:p w:rsidR="00AC61BD" w:rsidRDefault="00AC61BD" w:rsidP="00AC61BD">
      <w:pPr>
        <w:pStyle w:val="PathwayCondNo"/>
        <w:numPr>
          <w:ilvl w:val="0"/>
          <w:numId w:val="0"/>
        </w:numPr>
        <w:rPr>
          <w:b w:val="0"/>
        </w:rPr>
      </w:pPr>
      <w:r w:rsidRPr="00197602">
        <w:rPr>
          <w:b w:val="0"/>
        </w:rPr>
        <w:t>This requirement has also been included in Condition 93 to</w:t>
      </w:r>
      <w:r w:rsidRPr="006D02F4">
        <w:rPr>
          <w:b w:val="0"/>
        </w:rPr>
        <w:t xml:space="preserve"> ensure the installation of EV charging prior to the issue of an Occupation Certificate. </w:t>
      </w:r>
    </w:p>
    <w:p w:rsidR="00AC61BD" w:rsidRDefault="00AC61BD" w:rsidP="00AC61BD">
      <w:pPr>
        <w:pStyle w:val="Header"/>
        <w:ind w:left="502" w:firstLine="207"/>
        <w:rPr>
          <w:rFonts w:cs="Arial"/>
        </w:rPr>
      </w:pPr>
      <w:bookmarkStart w:id="3" w:name="_Hlk103691308"/>
      <w:r>
        <w:rPr>
          <w:rFonts w:cs="Arial"/>
        </w:rPr>
        <w:t>Condition 93 – Electric vehicle charging</w:t>
      </w:r>
    </w:p>
    <w:p w:rsidR="00AC61BD" w:rsidRPr="00D70895" w:rsidRDefault="00AC61BD" w:rsidP="00AC61BD">
      <w:pPr>
        <w:ind w:left="709" w:firstLine="11"/>
      </w:pPr>
      <w:r w:rsidRPr="006D02F4">
        <w:t>The certifier shall ensure that 5% of the basement parking spaces have been provided with electric vehicle charging points.</w:t>
      </w:r>
    </w:p>
    <w:bookmarkEnd w:id="3"/>
    <w:p w:rsidR="00AC61BD" w:rsidRDefault="00AC61BD" w:rsidP="00AC61BD">
      <w:pPr>
        <w:pStyle w:val="Header"/>
        <w:rPr>
          <w:rFonts w:cs="Arial"/>
          <w:b/>
        </w:rPr>
      </w:pPr>
      <w:r>
        <w:rPr>
          <w:rFonts w:cs="Arial"/>
          <w:b/>
        </w:rPr>
        <w:t>Installation of block out blinds</w:t>
      </w:r>
    </w:p>
    <w:p w:rsidR="00AC61BD" w:rsidRPr="00FC562F" w:rsidRDefault="00AC61BD" w:rsidP="00AC61BD">
      <w:pPr>
        <w:pStyle w:val="Header"/>
        <w:rPr>
          <w:rFonts w:cs="Arial"/>
        </w:rPr>
      </w:pPr>
      <w:r w:rsidRPr="00FC562F">
        <w:rPr>
          <w:rFonts w:cs="Arial"/>
        </w:rPr>
        <w:t>The adjacent sports grounds are intended to be floodlit as part of the future upgrades. Light spill from the sports grounds will be mitigated by compliance with the Australian standards for sports field lighting. As discussed at the determination meeting, any residual and reflected light, or any light from vehicles will be managed by block out blinds. The proposed condition of consent requires blinds to be installed and maintained on any bedroom facing the sports fields (described in the condition as eastern and northern facing bedrooms).</w:t>
      </w:r>
    </w:p>
    <w:p w:rsidR="00AC61BD" w:rsidRPr="00FC562F" w:rsidRDefault="00AC61BD" w:rsidP="00AC61BD">
      <w:pPr>
        <w:pStyle w:val="PathwayCondNo"/>
        <w:numPr>
          <w:ilvl w:val="0"/>
          <w:numId w:val="0"/>
        </w:numPr>
        <w:ind w:left="567"/>
        <w:rPr>
          <w:b w:val="0"/>
        </w:rPr>
      </w:pPr>
      <w:r w:rsidRPr="00FC562F">
        <w:rPr>
          <w:b w:val="0"/>
        </w:rPr>
        <w:t>Condition 96 Block out blinds</w:t>
      </w:r>
    </w:p>
    <w:p w:rsidR="00AC61BD" w:rsidRPr="008B090D" w:rsidRDefault="00AC61BD" w:rsidP="00AC61BD">
      <w:pPr>
        <w:ind w:left="567"/>
      </w:pPr>
      <w:r w:rsidRPr="00FC562F">
        <w:t>Block out blinds shall be installed and maintained to all eastern and northern facing bedrooms.</w:t>
      </w:r>
    </w:p>
    <w:p w:rsidR="00AC61BD" w:rsidRPr="00D94AA2" w:rsidRDefault="00AC61BD" w:rsidP="00AC61BD">
      <w:pPr>
        <w:pStyle w:val="Header"/>
        <w:rPr>
          <w:rFonts w:cs="Arial"/>
        </w:rPr>
      </w:pPr>
    </w:p>
    <w:p w:rsidR="00AC61BD" w:rsidRDefault="00AC61BD" w:rsidP="00AC61BD">
      <w:pPr>
        <w:pStyle w:val="Header"/>
        <w:rPr>
          <w:rFonts w:cs="Arial"/>
        </w:rPr>
      </w:pPr>
      <w:r>
        <w:rPr>
          <w:rFonts w:cs="Arial"/>
        </w:rPr>
        <w:t>A revised set of draft conditions with the changes and inclusions is enclosed. I trust this information assists with the determination of the above application.</w:t>
      </w:r>
    </w:p>
    <w:p w:rsidR="00E8056D" w:rsidRDefault="00E8056D" w:rsidP="00AC61BD">
      <w:pPr>
        <w:pStyle w:val="Header"/>
        <w:rPr>
          <w:rFonts w:cs="Arial"/>
        </w:rPr>
      </w:pPr>
      <w:bookmarkStart w:id="4" w:name="_GoBack"/>
      <w:bookmarkEnd w:id="4"/>
    </w:p>
    <w:p w:rsidR="00E8056D" w:rsidRPr="00E8056D" w:rsidRDefault="00E8056D" w:rsidP="00AC61BD">
      <w:pPr>
        <w:pStyle w:val="Header"/>
        <w:rPr>
          <w:rFonts w:cs="Arial"/>
          <w:b/>
        </w:rPr>
      </w:pPr>
      <w:r w:rsidRPr="00E8056D">
        <w:rPr>
          <w:rFonts w:cs="Arial"/>
          <w:b/>
        </w:rPr>
        <w:t>Attachments:</w:t>
      </w:r>
    </w:p>
    <w:p w:rsidR="00E8056D" w:rsidRDefault="00E8056D" w:rsidP="00E8056D">
      <w:pPr>
        <w:pStyle w:val="Header"/>
        <w:numPr>
          <w:ilvl w:val="0"/>
          <w:numId w:val="36"/>
        </w:numPr>
        <w:rPr>
          <w:rFonts w:cs="Arial"/>
        </w:rPr>
      </w:pPr>
      <w:r>
        <w:rPr>
          <w:rFonts w:cs="Arial"/>
        </w:rPr>
        <w:t>Revised proposed conditions of consent</w:t>
      </w:r>
    </w:p>
    <w:p w:rsidR="00E8056D" w:rsidRDefault="00E8056D" w:rsidP="00E8056D">
      <w:pPr>
        <w:pStyle w:val="Header"/>
        <w:numPr>
          <w:ilvl w:val="0"/>
          <w:numId w:val="36"/>
        </w:numPr>
        <w:rPr>
          <w:rFonts w:cs="Arial"/>
        </w:rPr>
      </w:pPr>
      <w:r>
        <w:rPr>
          <w:rFonts w:cs="Arial"/>
        </w:rPr>
        <w:t>Revised proposed conditions of consent</w:t>
      </w:r>
      <w:r>
        <w:rPr>
          <w:rFonts w:cs="Arial"/>
        </w:rPr>
        <w:t xml:space="preserve"> (with tracked changes)</w:t>
      </w:r>
    </w:p>
    <w:p w:rsidR="00E8056D" w:rsidRDefault="00E8056D" w:rsidP="00E8056D">
      <w:pPr>
        <w:pStyle w:val="Header"/>
        <w:numPr>
          <w:ilvl w:val="0"/>
          <w:numId w:val="36"/>
        </w:numPr>
        <w:rPr>
          <w:rFonts w:cs="Arial"/>
        </w:rPr>
      </w:pPr>
      <w:r w:rsidRPr="004B2B51">
        <w:rPr>
          <w:rFonts w:cs="Arial"/>
        </w:rPr>
        <w:t>Northrop drawing DAC08.01 Rev A (with Council mark up in red) dated 25.03.2022.</w:t>
      </w:r>
    </w:p>
    <w:p w:rsidR="00E8056D" w:rsidRDefault="00E8056D" w:rsidP="00E8056D">
      <w:pPr>
        <w:pStyle w:val="Header"/>
        <w:rPr>
          <w:rFonts w:cs="Arial"/>
        </w:rPr>
      </w:pPr>
    </w:p>
    <w:p w:rsidR="00AC61BD" w:rsidRDefault="00AC61BD" w:rsidP="00AC61BD">
      <w:pPr>
        <w:pStyle w:val="Header"/>
        <w:rPr>
          <w:rFonts w:cs="Arial"/>
        </w:rPr>
      </w:pPr>
      <w:r>
        <w:rPr>
          <w:rFonts w:cs="Arial"/>
        </w:rPr>
        <w:t xml:space="preserve">Should you have any further questions, or require further information, please contact me </w:t>
      </w:r>
      <w:r w:rsidRPr="009D19E8">
        <w:rPr>
          <w:rFonts w:cs="Arial"/>
        </w:rPr>
        <w:t xml:space="preserve">on 02 4921 </w:t>
      </w:r>
      <w:r>
        <w:rPr>
          <w:rFonts w:cs="Arial"/>
        </w:rPr>
        <w:t>0025</w:t>
      </w:r>
      <w:r w:rsidRPr="009D19E8">
        <w:rPr>
          <w:rFonts w:cs="Arial"/>
        </w:rPr>
        <w:t xml:space="preserve"> or </w:t>
      </w:r>
      <w:hyperlink r:id="rId8" w:history="1">
        <w:r w:rsidRPr="002F70F0">
          <w:rPr>
            <w:rStyle w:val="Hyperlink"/>
            <w:rFonts w:cs="Arial"/>
          </w:rPr>
          <w:t>gkeech@lakemac.nsw.gov.au</w:t>
        </w:r>
      </w:hyperlink>
      <w:r w:rsidRPr="009D19E8">
        <w:rPr>
          <w:rFonts w:cs="Arial"/>
        </w:rPr>
        <w:t>.</w:t>
      </w:r>
    </w:p>
    <w:p w:rsidR="00AC61BD" w:rsidRDefault="00AC61BD" w:rsidP="00AC61BD">
      <w:pPr>
        <w:pStyle w:val="Header"/>
        <w:rPr>
          <w:rFonts w:cs="Arial"/>
        </w:rPr>
      </w:pPr>
    </w:p>
    <w:p w:rsidR="00AC61BD" w:rsidRDefault="00AC61BD" w:rsidP="00AC61BD">
      <w:pPr>
        <w:pStyle w:val="Header"/>
        <w:rPr>
          <w:rFonts w:cs="Arial"/>
        </w:rPr>
      </w:pPr>
      <w:r>
        <w:rPr>
          <w:rFonts w:cs="Arial"/>
          <w:noProof/>
        </w:rPr>
        <w:drawing>
          <wp:anchor distT="0" distB="0" distL="114300" distR="114300" simplePos="0" relativeHeight="251659264" behindDoc="0" locked="0" layoutInCell="1" allowOverlap="1" wp14:anchorId="5939FD2C" wp14:editId="20B25AAD">
            <wp:simplePos x="0" y="0"/>
            <wp:positionH relativeFrom="column">
              <wp:posOffset>15685</wp:posOffset>
            </wp:positionH>
            <wp:positionV relativeFrom="paragraph">
              <wp:posOffset>36525</wp:posOffset>
            </wp:positionV>
            <wp:extent cx="1476375" cy="847725"/>
            <wp:effectExtent l="0" t="0" r="9525" b="9525"/>
            <wp:wrapThrough wrapText="bothSides">
              <wp:wrapPolygon edited="0">
                <wp:start x="0" y="0"/>
                <wp:lineTo x="0" y="21357"/>
                <wp:lineTo x="21461" y="21357"/>
                <wp:lineTo x="214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ffrey Keech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476375" cy="847725"/>
                    </a:xfrm>
                    <a:prstGeom prst="rect">
                      <a:avLst/>
                    </a:prstGeom>
                  </pic:spPr>
                </pic:pic>
              </a:graphicData>
            </a:graphic>
          </wp:anchor>
        </w:drawing>
      </w:r>
    </w:p>
    <w:p w:rsidR="00AC61BD" w:rsidRPr="00977FAF" w:rsidRDefault="00AC61BD" w:rsidP="00AC61BD">
      <w:pPr>
        <w:pStyle w:val="Header"/>
        <w:rPr>
          <w:rFonts w:cs="Arial"/>
        </w:rPr>
      </w:pPr>
    </w:p>
    <w:bookmarkStart w:id="5" w:name="Sighere"/>
    <w:bookmarkEnd w:id="5"/>
    <w:p w:rsidR="00AC61BD" w:rsidRPr="00977FAF" w:rsidRDefault="00AC61BD" w:rsidP="00AC61BD">
      <w:pPr>
        <w:pStyle w:val="Signature"/>
        <w:rPr>
          <w:rFonts w:cs="Arial"/>
        </w:rPr>
      </w:pPr>
      <w:r w:rsidRPr="00977FAF">
        <w:rPr>
          <w:rFonts w:cs="Arial"/>
        </w:rPr>
        <w:fldChar w:fldCharType="begin"/>
      </w:r>
      <w:r w:rsidRPr="00977FAF">
        <w:rPr>
          <w:rFonts w:cs="Arial"/>
        </w:rPr>
        <w:instrText xml:space="preserve"> Docvariable Sig </w:instrText>
      </w:r>
      <w:r w:rsidRPr="00977FAF">
        <w:rPr>
          <w:rFonts w:cs="Arial"/>
        </w:rPr>
        <w:fldChar w:fldCharType="separate"/>
      </w:r>
      <w:r>
        <w:rPr>
          <w:rFonts w:cs="Arial"/>
        </w:rPr>
        <w:t>Geoffrey Keech</w:t>
      </w:r>
      <w:r w:rsidRPr="00977FAF">
        <w:rPr>
          <w:rFonts w:cs="Arial"/>
        </w:rPr>
        <w:fldChar w:fldCharType="end"/>
      </w:r>
    </w:p>
    <w:p w:rsidR="00AC61BD" w:rsidRDefault="00AC61BD" w:rsidP="00AC61BD">
      <w:pPr>
        <w:pStyle w:val="SignatureB"/>
        <w:rPr>
          <w:rFonts w:cs="Arial"/>
        </w:rPr>
      </w:pPr>
      <w:r w:rsidRPr="00977FAF">
        <w:rPr>
          <w:rFonts w:cs="Arial"/>
        </w:rPr>
        <w:fldChar w:fldCharType="begin"/>
      </w:r>
      <w:r w:rsidRPr="00977FAF">
        <w:rPr>
          <w:rFonts w:cs="Arial"/>
        </w:rPr>
        <w:instrText xml:space="preserve"> Docvariable SigDept </w:instrText>
      </w:r>
      <w:r w:rsidRPr="00977FAF">
        <w:rPr>
          <w:rFonts w:cs="Arial"/>
        </w:rPr>
        <w:fldChar w:fldCharType="separate"/>
      </w:r>
      <w:r>
        <w:rPr>
          <w:rFonts w:cs="Arial"/>
        </w:rPr>
        <w:t>Development Planner</w:t>
      </w:r>
    </w:p>
    <w:p w:rsidR="00AC61BD" w:rsidRPr="00977FAF" w:rsidRDefault="00AC61BD" w:rsidP="00AC61BD">
      <w:pPr>
        <w:pStyle w:val="SignatureB"/>
        <w:rPr>
          <w:rFonts w:cs="Arial"/>
        </w:rPr>
      </w:pPr>
      <w:r>
        <w:rPr>
          <w:rFonts w:cs="Arial"/>
        </w:rPr>
        <w:t>Development Assessment &amp; Certification</w:t>
      </w:r>
      <w:r w:rsidRPr="00977FAF">
        <w:rPr>
          <w:rFonts w:cs="Arial"/>
        </w:rPr>
        <w:fldChar w:fldCharType="end"/>
      </w:r>
    </w:p>
    <w:p w:rsidR="00AC61BD" w:rsidRPr="00977FAF" w:rsidRDefault="00AC61BD" w:rsidP="00AC61BD">
      <w:pPr>
        <w:rPr>
          <w:rFonts w:cs="Arial"/>
        </w:rPr>
      </w:pPr>
    </w:p>
    <w:p w:rsidR="00483878" w:rsidRPr="00AC61BD" w:rsidRDefault="00483878" w:rsidP="00AC61BD"/>
    <w:sectPr w:rsidR="00483878" w:rsidRPr="00AC61BD" w:rsidSect="00F73DA9">
      <w:footerReference w:type="default" r:id="rId10"/>
      <w:footerReference w:type="first" r:id="rId11"/>
      <w:pgSz w:w="11907" w:h="16840" w:code="9"/>
      <w:pgMar w:top="851" w:right="851" w:bottom="851" w:left="1134" w:header="1134" w:footer="1077"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BD" w:rsidRDefault="00AC61BD" w:rsidP="00493096">
      <w:pPr>
        <w:spacing w:after="0"/>
      </w:pPr>
      <w:r>
        <w:separator/>
      </w:r>
    </w:p>
  </w:endnote>
  <w:endnote w:type="continuationSeparator" w:id="0">
    <w:p w:rsidR="00AC61BD" w:rsidRDefault="00AC61BD"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417"/>
      <w:gridCol w:w="4417"/>
    </w:tblGrid>
    <w:tr w:rsidR="00BE120E">
      <w:tc>
        <w:tcPr>
          <w:tcW w:w="4417" w:type="dxa"/>
        </w:tcPr>
        <w:p w:rsidR="00BE120E" w:rsidRDefault="00AC61BD">
          <w:pPr>
            <w:rPr>
              <w:sz w:val="12"/>
            </w:rPr>
          </w:pPr>
          <w:r>
            <w:rPr>
              <w:sz w:val="12"/>
            </w:rPr>
            <w:fldChar w:fldCharType="begin"/>
          </w:r>
          <w:r>
            <w:rPr>
              <w:sz w:val="12"/>
            </w:rPr>
            <w:instrText xml:space="preserve"> FILENAME  \* MERGEFORMAT </w:instrText>
          </w:r>
          <w:r>
            <w:rPr>
              <w:sz w:val="12"/>
            </w:rPr>
            <w:fldChar w:fldCharType="separate"/>
          </w:r>
          <w:r>
            <w:rPr>
              <w:noProof/>
              <w:sz w:val="12"/>
            </w:rPr>
            <w:t>gpkeech-16984.docx</w:t>
          </w:r>
          <w:r>
            <w:rPr>
              <w:sz w:val="12"/>
            </w:rPr>
            <w:fldChar w:fldCharType="end"/>
          </w:r>
        </w:p>
      </w:tc>
      <w:tc>
        <w:tcPr>
          <w:tcW w:w="4417" w:type="dxa"/>
        </w:tcPr>
        <w:p w:rsidR="00BE120E" w:rsidRDefault="00AC61BD">
          <w:pPr>
            <w:jc w:val="right"/>
            <w:rPr>
              <w:sz w:val="12"/>
            </w:rPr>
          </w:pPr>
          <w:proofErr w:type="spellStart"/>
          <w:r>
            <w:rPr>
              <w:sz w:val="12"/>
            </w:rPr>
            <w:t>LMCC</w:t>
          </w:r>
          <w:proofErr w:type="spellEnd"/>
          <w:r>
            <w:rPr>
              <w:sz w:val="12"/>
            </w:rPr>
            <w:t xml:space="preserve">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rsidR="00BE120E" w:rsidRDefault="00E80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Layout w:type="fixed"/>
      <w:tblLook w:val="0000" w:firstRow="0" w:lastRow="0" w:firstColumn="0" w:lastColumn="0" w:noHBand="0" w:noVBand="0"/>
    </w:tblPr>
    <w:tblGrid>
      <w:gridCol w:w="6228"/>
      <w:gridCol w:w="2880"/>
    </w:tblGrid>
    <w:tr w:rsidR="00B00928" w:rsidRPr="004947B1">
      <w:tc>
        <w:tcPr>
          <w:tcW w:w="6228" w:type="dxa"/>
        </w:tcPr>
        <w:p w:rsidR="00B00928" w:rsidRPr="00175C50" w:rsidRDefault="00AC61BD" w:rsidP="0025621B">
          <w:pPr>
            <w:pStyle w:val="FooterLMCC"/>
            <w:rPr>
              <w:rFonts w:cs="Arial"/>
            </w:rPr>
          </w:pPr>
          <w:r w:rsidRPr="004947B1">
            <w:rPr>
              <w:rFonts w:cs="Arial"/>
            </w:rPr>
            <w:t xml:space="preserve">Our Ref: </w:t>
          </w:r>
          <w:r w:rsidRPr="004947B1">
            <w:rPr>
              <w:rFonts w:cs="Arial"/>
            </w:rPr>
            <w:fldChar w:fldCharType="begin"/>
          </w:r>
          <w:r w:rsidRPr="004947B1">
            <w:rPr>
              <w:rFonts w:cs="Arial"/>
            </w:rPr>
            <w:instrText xml:space="preserve"> Docvariable FileNo </w:instrText>
          </w:r>
          <w:r w:rsidRPr="004947B1">
            <w:rPr>
              <w:rFonts w:cs="Arial"/>
            </w:rPr>
            <w:fldChar w:fldCharType="separate"/>
          </w:r>
          <w:r>
            <w:rPr>
              <w:rFonts w:cs="Arial"/>
            </w:rPr>
            <w:t>DA/2294/2021</w:t>
          </w:r>
          <w:r w:rsidRPr="004947B1">
            <w:rPr>
              <w:rFonts w:cs="Arial"/>
            </w:rPr>
            <w:fldChar w:fldCharType="end"/>
          </w:r>
        </w:p>
      </w:tc>
      <w:tc>
        <w:tcPr>
          <w:tcW w:w="2880" w:type="dxa"/>
        </w:tcPr>
        <w:p w:rsidR="00B00928" w:rsidRPr="004947B1" w:rsidRDefault="00E8056D" w:rsidP="0025621B">
          <w:pPr>
            <w:pStyle w:val="FooterLMCC"/>
            <w:rPr>
              <w:rFonts w:cs="Arial"/>
            </w:rPr>
          </w:pPr>
        </w:p>
      </w:tc>
    </w:tr>
  </w:tbl>
  <w:p w:rsidR="00B00928" w:rsidRPr="00572921" w:rsidRDefault="00E8056D" w:rsidP="00BF66B7">
    <w:pPr>
      <w:rPr>
        <w:rFonts w:cs="Arial"/>
      </w:rPr>
    </w:pPr>
  </w:p>
  <w:p w:rsidR="00B00928" w:rsidRDefault="00E8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BD" w:rsidRDefault="00AC61BD" w:rsidP="00493096">
      <w:pPr>
        <w:spacing w:after="0"/>
      </w:pPr>
      <w:r>
        <w:separator/>
      </w:r>
    </w:p>
  </w:footnote>
  <w:footnote w:type="continuationSeparator" w:id="0">
    <w:p w:rsidR="00AC61BD" w:rsidRDefault="00AC61BD"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234C4ED0"/>
    <w:multiLevelType w:val="hybridMultilevel"/>
    <w:tmpl w:val="7DBC2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0A40E7"/>
    <w:multiLevelType w:val="hybridMultilevel"/>
    <w:tmpl w:val="94ECACA6"/>
    <w:lvl w:ilvl="0" w:tplc="472846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5"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00B502D"/>
    <w:multiLevelType w:val="hybridMultilevel"/>
    <w:tmpl w:val="F6269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0D6881"/>
    <w:multiLevelType w:val="singleLevel"/>
    <w:tmpl w:val="5D3416B2"/>
    <w:lvl w:ilvl="0">
      <w:start w:val="1"/>
      <w:numFmt w:val="decimal"/>
      <w:lvlText w:val="%1."/>
      <w:lvlJc w:val="left"/>
      <w:pPr>
        <w:tabs>
          <w:tab w:val="num" w:pos="567"/>
        </w:tabs>
        <w:ind w:left="567" w:hanging="567"/>
      </w:pPr>
    </w:lvl>
  </w:abstractNum>
  <w:num w:numId="1">
    <w:abstractNumId w:val="4"/>
  </w:num>
  <w:num w:numId="2">
    <w:abstractNumId w:val="4"/>
  </w:num>
  <w:num w:numId="3">
    <w:abstractNumId w:val="4"/>
  </w:num>
  <w:num w:numId="4">
    <w:abstractNumId w:val="4"/>
  </w:num>
  <w:num w:numId="5">
    <w:abstractNumId w:val="0"/>
  </w:num>
  <w:num w:numId="6">
    <w:abstractNumId w:val="6"/>
  </w:num>
  <w:num w:numId="7">
    <w:abstractNumId w:val="5"/>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0"/>
  </w:num>
  <w:num w:numId="22">
    <w:abstractNumId w:val="6"/>
  </w:num>
  <w:num w:numId="23">
    <w:abstractNumId w:val="5"/>
  </w:num>
  <w:num w:numId="24">
    <w:abstractNumId w:val="3"/>
  </w:num>
  <w:num w:numId="25">
    <w:abstractNumId w:val="4"/>
  </w:num>
  <w:num w:numId="26">
    <w:abstractNumId w:val="4"/>
  </w:num>
  <w:num w:numId="27">
    <w:abstractNumId w:val="4"/>
  </w:num>
  <w:num w:numId="28">
    <w:abstractNumId w:val="4"/>
  </w:num>
  <w:num w:numId="29">
    <w:abstractNumId w:val="0"/>
  </w:num>
  <w:num w:numId="30">
    <w:abstractNumId w:val="6"/>
  </w:num>
  <w:num w:numId="31">
    <w:abstractNumId w:val="5"/>
  </w:num>
  <w:num w:numId="32">
    <w:abstractNumId w:val="3"/>
  </w:num>
  <w:num w:numId="33">
    <w:abstractNumId w:val="8"/>
  </w:num>
  <w:num w:numId="34">
    <w:abstractNumId w:val="1"/>
  </w:num>
  <w:num w:numId="35">
    <w:abstractNumId w:val="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AC61BD"/>
    <w:rsid w:val="00042236"/>
    <w:rsid w:val="00057070"/>
    <w:rsid w:val="00057F1D"/>
    <w:rsid w:val="000D08A5"/>
    <w:rsid w:val="000D1CE9"/>
    <w:rsid w:val="000D7183"/>
    <w:rsid w:val="000E045F"/>
    <w:rsid w:val="000E0F23"/>
    <w:rsid w:val="000E477E"/>
    <w:rsid w:val="000E61BF"/>
    <w:rsid w:val="000F4CC6"/>
    <w:rsid w:val="00112123"/>
    <w:rsid w:val="001230B3"/>
    <w:rsid w:val="00132236"/>
    <w:rsid w:val="001333E6"/>
    <w:rsid w:val="0015675E"/>
    <w:rsid w:val="0016189F"/>
    <w:rsid w:val="00167169"/>
    <w:rsid w:val="001A16D5"/>
    <w:rsid w:val="001C28AD"/>
    <w:rsid w:val="001C5115"/>
    <w:rsid w:val="00215A6F"/>
    <w:rsid w:val="002331EE"/>
    <w:rsid w:val="00241430"/>
    <w:rsid w:val="00255BA4"/>
    <w:rsid w:val="00264C91"/>
    <w:rsid w:val="002F55EA"/>
    <w:rsid w:val="002F72F0"/>
    <w:rsid w:val="00312E01"/>
    <w:rsid w:val="003409A9"/>
    <w:rsid w:val="003731A5"/>
    <w:rsid w:val="00376B2C"/>
    <w:rsid w:val="00380E6D"/>
    <w:rsid w:val="00385918"/>
    <w:rsid w:val="003A16F2"/>
    <w:rsid w:val="003A5502"/>
    <w:rsid w:val="003C7115"/>
    <w:rsid w:val="003F1F9B"/>
    <w:rsid w:val="004121B8"/>
    <w:rsid w:val="00416663"/>
    <w:rsid w:val="0047093E"/>
    <w:rsid w:val="00471CEA"/>
    <w:rsid w:val="0047210F"/>
    <w:rsid w:val="00483878"/>
    <w:rsid w:val="00491184"/>
    <w:rsid w:val="00493096"/>
    <w:rsid w:val="00493E71"/>
    <w:rsid w:val="004947B1"/>
    <w:rsid w:val="004B407E"/>
    <w:rsid w:val="004C095E"/>
    <w:rsid w:val="004C4688"/>
    <w:rsid w:val="00501604"/>
    <w:rsid w:val="005059B2"/>
    <w:rsid w:val="005152BA"/>
    <w:rsid w:val="00566FB6"/>
    <w:rsid w:val="00572921"/>
    <w:rsid w:val="00587F92"/>
    <w:rsid w:val="005C5DDE"/>
    <w:rsid w:val="006004DA"/>
    <w:rsid w:val="00612B19"/>
    <w:rsid w:val="00612B48"/>
    <w:rsid w:val="00687208"/>
    <w:rsid w:val="006968C1"/>
    <w:rsid w:val="006B16EF"/>
    <w:rsid w:val="006D7440"/>
    <w:rsid w:val="006E5492"/>
    <w:rsid w:val="006E6B61"/>
    <w:rsid w:val="007226D1"/>
    <w:rsid w:val="00782256"/>
    <w:rsid w:val="007940E5"/>
    <w:rsid w:val="007B6EED"/>
    <w:rsid w:val="007D1926"/>
    <w:rsid w:val="007D3D38"/>
    <w:rsid w:val="007E5C31"/>
    <w:rsid w:val="007E7F47"/>
    <w:rsid w:val="00884891"/>
    <w:rsid w:val="008A48FD"/>
    <w:rsid w:val="008B2044"/>
    <w:rsid w:val="008B5891"/>
    <w:rsid w:val="008F7C2A"/>
    <w:rsid w:val="009004F9"/>
    <w:rsid w:val="009047F6"/>
    <w:rsid w:val="00987B30"/>
    <w:rsid w:val="009A6F2C"/>
    <w:rsid w:val="009C3D13"/>
    <w:rsid w:val="009D1CCD"/>
    <w:rsid w:val="009F7C3A"/>
    <w:rsid w:val="00A270C3"/>
    <w:rsid w:val="00A50DB0"/>
    <w:rsid w:val="00A64771"/>
    <w:rsid w:val="00A650A1"/>
    <w:rsid w:val="00A719AF"/>
    <w:rsid w:val="00A87295"/>
    <w:rsid w:val="00A96FF7"/>
    <w:rsid w:val="00AA393B"/>
    <w:rsid w:val="00AB36DB"/>
    <w:rsid w:val="00AC61BD"/>
    <w:rsid w:val="00B112DD"/>
    <w:rsid w:val="00B34819"/>
    <w:rsid w:val="00B7207F"/>
    <w:rsid w:val="00B82A1C"/>
    <w:rsid w:val="00BA49E2"/>
    <w:rsid w:val="00BF2FF5"/>
    <w:rsid w:val="00BF3AC1"/>
    <w:rsid w:val="00C11F69"/>
    <w:rsid w:val="00C14974"/>
    <w:rsid w:val="00C20221"/>
    <w:rsid w:val="00C51B5E"/>
    <w:rsid w:val="00C52980"/>
    <w:rsid w:val="00C56868"/>
    <w:rsid w:val="00C63A2F"/>
    <w:rsid w:val="00C674DB"/>
    <w:rsid w:val="00C94387"/>
    <w:rsid w:val="00CA0B46"/>
    <w:rsid w:val="00CA4064"/>
    <w:rsid w:val="00CA6E7B"/>
    <w:rsid w:val="00CF4F24"/>
    <w:rsid w:val="00D40483"/>
    <w:rsid w:val="00D507C0"/>
    <w:rsid w:val="00D60853"/>
    <w:rsid w:val="00D92B16"/>
    <w:rsid w:val="00DC04F3"/>
    <w:rsid w:val="00DD3B7A"/>
    <w:rsid w:val="00E219DB"/>
    <w:rsid w:val="00E43F12"/>
    <w:rsid w:val="00E50373"/>
    <w:rsid w:val="00E557A5"/>
    <w:rsid w:val="00E710A9"/>
    <w:rsid w:val="00E8056D"/>
    <w:rsid w:val="00E820D7"/>
    <w:rsid w:val="00E860DF"/>
    <w:rsid w:val="00E9250E"/>
    <w:rsid w:val="00ED4025"/>
    <w:rsid w:val="00F130D5"/>
    <w:rsid w:val="00F13E1C"/>
    <w:rsid w:val="00F80E44"/>
    <w:rsid w:val="00F95692"/>
    <w:rsid w:val="00FA432E"/>
    <w:rsid w:val="00FC0427"/>
    <w:rsid w:val="00FC082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9FF1C2"/>
  <w14:discardImageEditingData/>
  <w15:chartTrackingRefBased/>
  <w15:docId w15:val="{F54FF0CE-D694-4F5A-A1CD-7BF84443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61BD"/>
    <w:pPr>
      <w:spacing w:after="160"/>
      <w:ind w:left="0" w:firstLine="0"/>
    </w:pPr>
    <w:rPr>
      <w:szCs w:val="20"/>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style>
  <w:style w:type="paragraph" w:customStyle="1" w:styleId="CMTextR">
    <w:name w:val="CMTextR"/>
    <w:basedOn w:val="Normal"/>
    <w:rsid w:val="00DD3B7A"/>
    <w:pPr>
      <w:jc w:val="right"/>
    </w:p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link w:val="HeaderCha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rPr>
  </w:style>
  <w:style w:type="paragraph" w:customStyle="1" w:styleId="PathwayH2">
    <w:name w:val="PathwayH2"/>
    <w:basedOn w:val="Normal"/>
    <w:next w:val="Normal"/>
    <w:rsid w:val="00DD3B7A"/>
    <w:pPr>
      <w:spacing w:before="60"/>
      <w:jc w:val="center"/>
    </w:pPr>
    <w:rPr>
      <w:rFonts w:cs="Arial"/>
      <w:b/>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character" w:customStyle="1" w:styleId="HeaderChar">
    <w:name w:val="Header Char"/>
    <w:basedOn w:val="DefaultParagraphFont"/>
    <w:link w:val="Header"/>
    <w:rsid w:val="00AC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eech@lakemac.nsw.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982</Words>
  <Characters>5632</Characters>
  <Application>Microsoft Office Word</Application>
  <DocSecurity>0</DocSecurity>
  <Lines>122</Lines>
  <Paragraphs>87</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Keech</dc:creator>
  <cp:keywords/>
  <dc:description/>
  <cp:lastModifiedBy>Geoffrey Keech</cp:lastModifiedBy>
  <cp:revision>2</cp:revision>
  <cp:lastPrinted>2020-01-17T05:21:00Z</cp:lastPrinted>
  <dcterms:created xsi:type="dcterms:W3CDTF">2022-05-18T03:20:00Z</dcterms:created>
  <dcterms:modified xsi:type="dcterms:W3CDTF">2022-05-18T03:27:00Z</dcterms:modified>
</cp:coreProperties>
</file>